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557F8C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CF5E62" w:rsidRDefault="00D32765" w:rsidP="00D32765">
            <w:pPr>
              <w:spacing w:line="300" w:lineRule="atLeast"/>
              <w:ind w:left="-153" w:right="-154" w:firstLine="153"/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ΕΛΛΗΝΙΚΗ ΔΗΜΟΚΡΑΤΙΑ</w:t>
            </w:r>
          </w:p>
          <w:p w:rsidR="00A7384C" w:rsidRPr="00CF5E62" w:rsidRDefault="00D32765" w:rsidP="00D3276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71562" w:rsidP="00182923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ΠΑΑ 2014-2020</w:t>
            </w: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CF5E62" w:rsidRDefault="00D32765" w:rsidP="00D32765">
            <w:pPr>
              <w:spacing w:line="300" w:lineRule="atLeast"/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 xml:space="preserve">………………………… 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proofErr w:type="spellStart"/>
            <w:r w:rsidRPr="00CF5E62">
              <w:rPr>
                <w:rFonts w:ascii="Verdana" w:hAnsi="Verdana" w:cs="Tahoma"/>
              </w:rPr>
              <w:t>Ταχ</w:t>
            </w:r>
            <w:proofErr w:type="spellEnd"/>
            <w:r w:rsidRPr="00CF5E62">
              <w:rPr>
                <w:rFonts w:ascii="Verdana" w:hAnsi="Verdana" w:cs="Tahoma"/>
              </w:rPr>
              <w:t>. Δ/</w:t>
            </w:r>
            <w:proofErr w:type="spellStart"/>
            <w:r w:rsidRPr="00CF5E62">
              <w:rPr>
                <w:rFonts w:ascii="Verdana" w:hAnsi="Verdana" w:cs="Tahoma"/>
              </w:rPr>
              <w:t>νση</w:t>
            </w:r>
            <w:proofErr w:type="spellEnd"/>
            <w:r w:rsidRPr="00CF5E62">
              <w:rPr>
                <w:rFonts w:ascii="Verdana" w:hAnsi="Verdana" w:cs="Tahoma"/>
              </w:rPr>
              <w:t xml:space="preserve">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proofErr w:type="spellStart"/>
            <w:r w:rsidRPr="00CF5E62">
              <w:rPr>
                <w:rFonts w:ascii="Verdana" w:hAnsi="Verdana" w:cs="Tahoma"/>
              </w:rPr>
              <w:t>Ταχ</w:t>
            </w:r>
            <w:proofErr w:type="spellEnd"/>
            <w:r w:rsidRPr="00CF5E62">
              <w:rPr>
                <w:rFonts w:ascii="Verdana" w:hAnsi="Verdana" w:cs="Tahoma"/>
              </w:rPr>
              <w:t>. Κώδικας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</w:rPr>
              <w:t xml:space="preserve">Πληροφορίες: 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</w:rPr>
              <w:t>Τηλέφωνο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lang w:val="en-US"/>
              </w:rPr>
              <w:t>Fax</w:t>
            </w:r>
            <w:r w:rsidRPr="00CF5E62">
              <w:rPr>
                <w:rFonts w:ascii="Verdana" w:hAnsi="Verdana" w:cs="Tahoma"/>
              </w:rPr>
              <w:t xml:space="preserve">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lang w:val="en-US"/>
              </w:rPr>
              <w:t>Email</w:t>
            </w:r>
            <w:r w:rsidRPr="00CF5E62">
              <w:rPr>
                <w:rFonts w:ascii="Verdana" w:hAnsi="Verdan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FA6B6D" w:rsidP="0020459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</w:rPr>
              <w:t>&lt;Τόπος&gt;, &lt;</w:t>
            </w:r>
            <w:r w:rsidR="00204595" w:rsidRPr="00CF5E62">
              <w:rPr>
                <w:rFonts w:ascii="Verdana" w:hAnsi="Verdana" w:cs="Tahoma"/>
              </w:rPr>
              <w:t>Ημερομηνία</w:t>
            </w:r>
            <w:r w:rsidRPr="00CF5E62">
              <w:rPr>
                <w:rFonts w:ascii="Verdana" w:hAnsi="Verdana" w:cs="Tahoma"/>
              </w:rPr>
              <w:t>&gt;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</w:rPr>
              <w:t>Α.Π.:</w:t>
            </w:r>
            <w:r w:rsidRPr="00CF5E62">
              <w:rPr>
                <w:rFonts w:ascii="Verdana" w:hAnsi="Verdana" w:cs="Tahoma"/>
                <w:b/>
              </w:rPr>
              <w:t xml:space="preserve"> </w:t>
            </w:r>
          </w:p>
          <w:p w:rsidR="00315BE7" w:rsidRPr="00CF5E62" w:rsidRDefault="00315BE7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A601C0">
            <w:pPr>
              <w:rPr>
                <w:rFonts w:ascii="Verdana" w:hAnsi="Verdana" w:cs="Tahoma"/>
              </w:rPr>
            </w:pPr>
          </w:p>
        </w:tc>
      </w:tr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04595" w:rsidP="00A7384C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</w:rPr>
              <w:t>Προς:</w:t>
            </w:r>
            <w:r w:rsidRPr="00CF5E62">
              <w:rPr>
                <w:rFonts w:ascii="Verdana" w:hAnsi="Verdana" w:cs="Tahoma"/>
              </w:rPr>
              <w:t xml:space="preserve"> </w:t>
            </w:r>
            <w:r w:rsidR="00FA6B6D" w:rsidRPr="00CF5E62">
              <w:rPr>
                <w:rFonts w:ascii="Verdana" w:hAnsi="Verdana" w:cs="Tahoma"/>
              </w:rPr>
              <w:t>&lt;Δικαιούχος&gt;</w:t>
            </w:r>
            <w:r w:rsidR="00346D3C" w:rsidRPr="00CF5E62">
              <w:rPr>
                <w:rFonts w:ascii="Verdana" w:hAnsi="Verdan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Default="00253518" w:rsidP="00AA1406">
      <w:pPr>
        <w:spacing w:before="120" w:after="120"/>
        <w:ind w:left="728" w:hanging="728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CF5E62">
        <w:rPr>
          <w:rFonts w:ascii="Tahoma" w:hAnsi="Tahoma" w:cs="Tahoma"/>
          <w:lang w:eastAsia="en-US"/>
        </w:rPr>
        <w:t xml:space="preserve">ΤΟΠΙΚΟ ΠΡΟΓΡΑΜΜΑ </w:t>
      </w:r>
      <w:r w:rsidR="00CF5E62">
        <w:rPr>
          <w:rFonts w:ascii="Tahoma" w:hAnsi="Tahoma" w:cs="Tahoma"/>
          <w:lang w:val="en-US" w:eastAsia="en-US"/>
        </w:rPr>
        <w:t>CLLD</w:t>
      </w:r>
      <w:r w:rsidR="00CF5E62" w:rsidRPr="00CF5E62">
        <w:rPr>
          <w:rFonts w:ascii="Tahoma" w:hAnsi="Tahoma" w:cs="Tahoma"/>
          <w:lang w:eastAsia="en-US"/>
        </w:rPr>
        <w:t xml:space="preserve">/ </w:t>
      </w:r>
      <w:r w:rsidR="00CF5E62">
        <w:rPr>
          <w:rFonts w:ascii="Tahoma" w:hAnsi="Tahoma" w:cs="Tahoma"/>
          <w:lang w:val="en-US" w:eastAsia="en-US"/>
        </w:rPr>
        <w:t>LEADER</w:t>
      </w:r>
      <w:r w:rsidR="00CF5E62" w:rsidRPr="00CF5E62">
        <w:rPr>
          <w:rFonts w:ascii="Tahoma" w:hAnsi="Tahoma" w:cs="Tahoma"/>
          <w:lang w:eastAsia="en-US"/>
        </w:rPr>
        <w:t xml:space="preserve"> </w:t>
      </w:r>
      <w:r w:rsidR="00CF5E62">
        <w:rPr>
          <w:rFonts w:ascii="Tahoma" w:hAnsi="Tahoma" w:cs="Tahoma"/>
          <w:lang w:eastAsia="en-US"/>
        </w:rPr>
        <w:t xml:space="preserve">2014 – 2020 </w:t>
      </w:r>
      <w:r w:rsidR="00CF5E62" w:rsidRPr="00CF5E62">
        <w:rPr>
          <w:rFonts w:ascii="Tahoma" w:hAnsi="Tahoma" w:cs="Tahoma"/>
        </w:rPr>
        <w:t xml:space="preserve">«Πολιτισμός και Περιβάλλον “Εν </w:t>
      </w:r>
      <w:proofErr w:type="spellStart"/>
      <w:r w:rsidR="00CF5E62" w:rsidRPr="00CF5E62">
        <w:rPr>
          <w:rFonts w:ascii="Tahoma" w:hAnsi="Tahoma" w:cs="Tahoma"/>
        </w:rPr>
        <w:t>Πλώ</w:t>
      </w:r>
      <w:proofErr w:type="spellEnd"/>
      <w:r w:rsidR="00CF5E62" w:rsidRPr="00CF5E62">
        <w:rPr>
          <w:rFonts w:ascii="Tahoma" w:hAnsi="Tahoma" w:cs="Tahoma"/>
        </w:rPr>
        <w:t>”»</w:t>
      </w:r>
      <w:r w:rsidR="00CF5E62">
        <w:rPr>
          <w:rFonts w:ascii="Tahoma" w:hAnsi="Tahoma" w:cs="Tahoma"/>
        </w:rPr>
        <w:t xml:space="preserve">, του Δικτύου Συνεργασίας Δήμων ΠΕ Νήσων Αττικής, του </w:t>
      </w:r>
      <w:r w:rsidR="00A7384C" w:rsidRPr="00D32765">
        <w:rPr>
          <w:rFonts w:ascii="Tahoma" w:hAnsi="Tahoma" w:cs="Tahoma"/>
          <w:lang w:eastAsia="en-US"/>
        </w:rPr>
        <w:t>ΠΡΟΓΡΑ</w:t>
      </w:r>
      <w:r w:rsidR="00CF5E62">
        <w:rPr>
          <w:rFonts w:ascii="Tahoma" w:hAnsi="Tahoma" w:cs="Tahoma"/>
          <w:lang w:eastAsia="en-US"/>
        </w:rPr>
        <w:t>ΜΜΑΤΟΣ</w:t>
      </w:r>
      <w:r w:rsidR="00A7384C" w:rsidRPr="00D32765">
        <w:rPr>
          <w:rFonts w:ascii="Tahoma" w:hAnsi="Tahoma" w:cs="Tahoma"/>
          <w:lang w:eastAsia="en-US"/>
        </w:rPr>
        <w:t xml:space="preserve">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AA1406">
      <w:pPr>
        <w:spacing w:before="120" w:after="120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CF0153" w:rsidRPr="00D32765" w:rsidRDefault="00CF0153" w:rsidP="00AA1406">
      <w:pPr>
        <w:tabs>
          <w:tab w:val="num" w:pos="0"/>
        </w:tabs>
        <w:spacing w:before="120" w:after="120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Η Περιφερειάρχης</w:t>
      </w:r>
    </w:p>
    <w:p w:rsidR="00BB6533" w:rsidRPr="00D32765" w:rsidRDefault="00BB6533" w:rsidP="00AA1406">
      <w:pPr>
        <w:tabs>
          <w:tab w:val="num" w:pos="0"/>
        </w:tabs>
        <w:spacing w:before="120" w:after="120"/>
        <w:rPr>
          <w:rFonts w:ascii="Tahoma" w:hAnsi="Tahoma" w:cs="Tahoma"/>
          <w:lang w:eastAsia="en-US"/>
        </w:rPr>
      </w:pPr>
    </w:p>
    <w:p w:rsidR="006F3E43" w:rsidRPr="00D32765" w:rsidRDefault="006F3E43" w:rsidP="00AA1406">
      <w:pPr>
        <w:tabs>
          <w:tab w:val="num" w:pos="0"/>
        </w:tabs>
        <w:spacing w:before="120" w:after="120"/>
        <w:rPr>
          <w:rFonts w:ascii="Tahoma" w:hAnsi="Tahoma" w:cs="Tahoma"/>
          <w:lang w:eastAsia="en-US"/>
        </w:rPr>
      </w:pPr>
    </w:p>
    <w:p w:rsidR="001F6446" w:rsidRPr="00D32765" w:rsidRDefault="001F6446" w:rsidP="00AA1406">
      <w:pPr>
        <w:spacing w:before="120" w:after="120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AA1406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AA1406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AA1406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Default="00CF0153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AA1406">
      <w:pPr>
        <w:pStyle w:val="af2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lastRenderedPageBreak/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AA1406">
      <w:pPr>
        <w:pStyle w:val="af2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AA1406">
      <w:pPr>
        <w:pStyle w:val="af2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 με αρ. </w:t>
      </w:r>
      <w:proofErr w:type="spellStart"/>
      <w:r w:rsidRPr="00F4725F">
        <w:rPr>
          <w:rFonts w:ascii="Tahoma" w:hAnsi="Tahoma" w:cs="Tahoma"/>
          <w:sz w:val="20"/>
          <w:szCs w:val="20"/>
        </w:rPr>
        <w:t>πρωτ</w:t>
      </w:r>
      <w:proofErr w:type="spellEnd"/>
      <w:r w:rsidRPr="00F4725F">
        <w:rPr>
          <w:rFonts w:ascii="Tahoma" w:hAnsi="Tahoma" w:cs="Tahoma"/>
          <w:sz w:val="20"/>
          <w:szCs w:val="20"/>
        </w:rPr>
        <w:t>.</w:t>
      </w:r>
      <w:r w:rsidR="00CF5E62" w:rsidRPr="00CF5E62">
        <w:rPr>
          <w:rFonts w:ascii="Tahoma" w:hAnsi="Tahoma" w:cs="Tahoma"/>
          <w:sz w:val="20"/>
          <w:szCs w:val="20"/>
        </w:rPr>
        <w:t xml:space="preserve"> 13215/30-11-2017 (ΦΕΚ 4285/Β΄/8-12-2017)</w:t>
      </w:r>
      <w:r w:rsidRPr="00F4725F">
        <w:rPr>
          <w:rFonts w:ascii="Tahoma" w:hAnsi="Tahoma" w:cs="Tahoma"/>
          <w:sz w:val="20"/>
          <w:szCs w:val="20"/>
        </w:rPr>
        <w:t xml:space="preserve"> Απόφαση του Υπουργού Αγροτικής Ανάπτυξης &amp; Τροφίμων σχετικά με το «Πλαίσιο υλοποίησης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19.2, του Μέτρου 19, Τοπική Ανάπτυξη με Πρωτοβουλία Τοπικών Κοινοτήτων, (ΤΑΠΤοΚ)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p w:rsidR="00C60344" w:rsidRPr="00D32765" w:rsidRDefault="00A94EA1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4370AF">
        <w:rPr>
          <w:rFonts w:ascii="Tahoma" w:hAnsi="Tahoma" w:cs="Tahoma"/>
        </w:rPr>
        <w:t xml:space="preserve">ΟΤΔ </w:t>
      </w:r>
      <w:r w:rsidR="004370AF" w:rsidRPr="004370AF">
        <w:rPr>
          <w:rFonts w:ascii="Tahoma" w:hAnsi="Tahoma" w:cs="Tahoma"/>
          <w:highlight w:val="yellow"/>
        </w:rPr>
        <w:t>……..</w:t>
      </w:r>
      <w:r w:rsidR="00A94EA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>προς την</w:t>
      </w:r>
      <w:r w:rsidR="004370AF">
        <w:rPr>
          <w:rFonts w:ascii="Tahoma" w:hAnsi="Tahoma" w:cs="Tahoma"/>
        </w:rPr>
        <w:t xml:space="preserve"> ΟΤΔ </w:t>
      </w:r>
      <w:r w:rsidR="004370AF" w:rsidRPr="004370AF">
        <w:rPr>
          <w:rFonts w:ascii="Tahoma" w:hAnsi="Tahoma" w:cs="Tahoma"/>
          <w:highlight w:val="yellow"/>
        </w:rPr>
        <w:t>……</w:t>
      </w:r>
      <w:r w:rsidR="001E62D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AA1406">
      <w:pPr>
        <w:spacing w:before="120" w:after="120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AA1406">
      <w:pPr>
        <w:spacing w:before="120" w:after="120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CF5E62" w:rsidRPr="00CF5E62" w:rsidRDefault="006F3E43" w:rsidP="00AA1406">
      <w:pPr>
        <w:tabs>
          <w:tab w:val="num" w:pos="0"/>
        </w:tabs>
        <w:spacing w:before="120" w:after="120"/>
        <w:jc w:val="center"/>
        <w:rPr>
          <w:rFonts w:ascii="Verdana" w:hAnsi="Verdana" w:cs="Tahoma"/>
          <w:b/>
          <w:lang w:eastAsia="en-US"/>
        </w:rPr>
      </w:pPr>
      <w:r w:rsidRPr="00CF5E62">
        <w:rPr>
          <w:rFonts w:ascii="Verdana" w:hAnsi="Verdana" w:cs="Tahoma"/>
          <w:lang w:eastAsia="en-US"/>
        </w:rPr>
        <w:t xml:space="preserve">Την </w:t>
      </w:r>
      <w:r w:rsidRPr="00CF5E62">
        <w:rPr>
          <w:rFonts w:ascii="Verdana" w:hAnsi="Verdana" w:cs="Tahoma"/>
          <w:b/>
          <w:lang w:eastAsia="en-US"/>
        </w:rPr>
        <w:t>απόρριψη</w:t>
      </w:r>
      <w:r w:rsidRPr="00CF5E62">
        <w:rPr>
          <w:rFonts w:ascii="Verdana" w:hAnsi="Verdan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CF5E62">
        <w:rPr>
          <w:rFonts w:ascii="Verdana" w:hAnsi="Verdana" w:cs="Tahoma"/>
          <w:lang w:eastAsia="en-US"/>
        </w:rPr>
        <w:t>πρωτ</w:t>
      </w:r>
      <w:proofErr w:type="spellEnd"/>
      <w:r w:rsidRPr="00CF5E62">
        <w:rPr>
          <w:rFonts w:ascii="Verdana" w:hAnsi="Verdana" w:cs="Tahoma"/>
          <w:lang w:eastAsia="en-US"/>
        </w:rPr>
        <w:t>. ………. Πρόσκλησης «</w:t>
      </w:r>
      <w:r w:rsidR="00CF5E62" w:rsidRPr="00CF5E62">
        <w:rPr>
          <w:rFonts w:ascii="Verdana" w:hAnsi="Verdana" w:cs="Tahoma"/>
          <w:b/>
          <w:lang w:eastAsia="en-US"/>
        </w:rPr>
        <w:t>1</w:t>
      </w:r>
      <w:r w:rsidR="00CF5E62" w:rsidRPr="00CF5E62">
        <w:rPr>
          <w:rFonts w:ascii="Verdana" w:hAnsi="Verdana" w:cs="Tahoma"/>
          <w:b/>
          <w:vertAlign w:val="superscript"/>
          <w:lang w:eastAsia="en-US"/>
        </w:rPr>
        <w:t>η</w:t>
      </w:r>
      <w:r w:rsidR="00CF5E62" w:rsidRPr="00CF5E62">
        <w:rPr>
          <w:rFonts w:ascii="Verdana" w:hAnsi="Verdana" w:cs="Tahoma"/>
          <w:b/>
          <w:lang w:eastAsia="en-US"/>
        </w:rPr>
        <w:t xml:space="preserve"> ΠΡΟΣΚΛΗΣΗ</w:t>
      </w:r>
      <w:r w:rsidR="00CF5E62" w:rsidRPr="00CF5E62">
        <w:rPr>
          <w:rFonts w:ascii="Verdana" w:hAnsi="Verdana" w:cs="Tahoma"/>
          <w:lang w:eastAsia="en-US"/>
        </w:rPr>
        <w:t xml:space="preserve"> </w:t>
      </w:r>
      <w:r w:rsidR="00CF5E62" w:rsidRPr="00CF5E62">
        <w:rPr>
          <w:rFonts w:ascii="Verdana" w:hAnsi="Verdana" w:cs="Tahoma"/>
          <w:b/>
          <w:lang w:eastAsia="en-US"/>
        </w:rPr>
        <w:t xml:space="preserve">ΓΙΑ ΤΗΝ ΥΠΟΒΟΛΗ ΠΡΟΤΑΣΕΩΝ ΠΑΡΕΜΒΑΣΕΩΝ ΔΗΜΟΣΙΟΥ ΧΑΡΑΚΤΗΡΑ ΤΟΠΙΚΟΥ ΠΡΟΓΡΑΜΜΑΤΟΣ </w:t>
      </w:r>
      <w:r w:rsidR="00CF5E62" w:rsidRPr="00CF5E62">
        <w:rPr>
          <w:rFonts w:ascii="Verdana" w:hAnsi="Verdana" w:cs="Tahoma"/>
          <w:b/>
          <w:lang w:val="en-US" w:eastAsia="en-US"/>
        </w:rPr>
        <w:t>CLLD</w:t>
      </w:r>
      <w:r w:rsidR="00CF5E62" w:rsidRPr="00CF5E62">
        <w:rPr>
          <w:rFonts w:ascii="Verdana" w:hAnsi="Verdana" w:cs="Tahoma"/>
          <w:b/>
          <w:lang w:eastAsia="en-US"/>
        </w:rPr>
        <w:t xml:space="preserve">/ </w:t>
      </w:r>
      <w:r w:rsidR="00CF5E62" w:rsidRPr="00CF5E62">
        <w:rPr>
          <w:rFonts w:ascii="Verdana" w:hAnsi="Verdana" w:cs="Tahoma"/>
          <w:b/>
          <w:lang w:val="en-US" w:eastAsia="en-US"/>
        </w:rPr>
        <w:t>LEADER</w:t>
      </w:r>
      <w:r w:rsidR="00CF5E62" w:rsidRPr="00CF5E62">
        <w:rPr>
          <w:rFonts w:ascii="Verdana" w:hAnsi="Verdana" w:cs="Tahoma"/>
          <w:b/>
          <w:lang w:eastAsia="en-US"/>
        </w:rPr>
        <w:t xml:space="preserve"> 2014 – 2020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» για τους κάτωθι λόγους: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AA1406">
      <w:pPr>
        <w:spacing w:before="120" w:after="120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AA1406">
      <w:pPr>
        <w:spacing w:before="120" w:after="120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 xml:space="preserve">Η πρόταση αξιολογήθηκε θετικά αλλά δεν δύναται να ενταχθεί στον Μέτρο </w:t>
      </w:r>
      <w:r w:rsidR="00CF5E62">
        <w:rPr>
          <w:rFonts w:ascii="Tahoma" w:hAnsi="Tahoma" w:cs="Tahoma"/>
          <w:lang w:eastAsia="en-US"/>
        </w:rPr>
        <w:t xml:space="preserve">19 </w:t>
      </w:r>
      <w:r w:rsidR="00CF5E62" w:rsidRPr="00CF5E62">
        <w:rPr>
          <w:rFonts w:ascii="Tahoma" w:hAnsi="Tahoma" w:cs="Tahoma"/>
          <w:lang w:eastAsia="en-US"/>
        </w:rPr>
        <w:t xml:space="preserve">«Στήριξη για Τοπική Ανάπτυξη μέσω του </w:t>
      </w:r>
      <w:proofErr w:type="spellStart"/>
      <w:r w:rsidR="00CF5E62" w:rsidRPr="00CF5E62">
        <w:rPr>
          <w:rFonts w:ascii="Tahoma" w:hAnsi="Tahoma" w:cs="Tahoma"/>
          <w:lang w:eastAsia="en-US"/>
        </w:rPr>
        <w:t>Leader</w:t>
      </w:r>
      <w:proofErr w:type="spellEnd"/>
      <w:r w:rsidR="00CF5E62" w:rsidRPr="00CF5E62">
        <w:rPr>
          <w:rFonts w:ascii="Tahoma" w:hAnsi="Tahoma" w:cs="Tahoma"/>
          <w:lang w:eastAsia="en-US"/>
        </w:rPr>
        <w:t xml:space="preserve"> (ΤΑΠΤοΚ - Τοπική Ανάπτυξη με Πρωτοβουλία τοπικών Κοινοτήτων)»</w:t>
      </w:r>
      <w:r w:rsidRPr="00D32765">
        <w:rPr>
          <w:rFonts w:ascii="Tahoma" w:hAnsi="Tahoma" w:cs="Tahoma"/>
          <w:lang w:eastAsia="en-US"/>
        </w:rPr>
        <w:t xml:space="preserve">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CF5E62" w:rsidRDefault="00CF5E62" w:rsidP="00AA1406">
      <w:pPr>
        <w:spacing w:before="120" w:after="120"/>
        <w:jc w:val="center"/>
        <w:rPr>
          <w:rFonts w:ascii="Tahoma" w:hAnsi="Tahoma" w:cs="Tahoma"/>
          <w:b/>
        </w:rPr>
      </w:pPr>
    </w:p>
    <w:p w:rsidR="00EF0E15" w:rsidRPr="00CF5E62" w:rsidRDefault="00FE3CBC" w:rsidP="00AA1406">
      <w:pPr>
        <w:spacing w:before="120" w:after="120"/>
        <w:jc w:val="center"/>
        <w:rPr>
          <w:rFonts w:ascii="Tahoma" w:hAnsi="Tahoma" w:cs="Tahoma"/>
          <w:b/>
        </w:rPr>
      </w:pPr>
      <w:r w:rsidRPr="00CF5E62">
        <w:rPr>
          <w:rFonts w:ascii="Tahoma" w:hAnsi="Tahoma" w:cs="Tahoma"/>
          <w:b/>
        </w:rPr>
        <w:t>Η Περιφερειάρχης</w:t>
      </w:r>
    </w:p>
    <w:p w:rsidR="00663060" w:rsidRPr="00D32765" w:rsidRDefault="00663060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05017A" w:rsidRPr="00CF5E62" w:rsidRDefault="005C75AF" w:rsidP="00AA1406">
      <w:pPr>
        <w:spacing w:before="120" w:after="120"/>
        <w:jc w:val="both"/>
        <w:rPr>
          <w:rFonts w:ascii="Tahoma" w:hAnsi="Tahoma" w:cs="Tahoma"/>
          <w:b/>
          <w:u w:val="single"/>
          <w:lang w:eastAsia="en-US"/>
        </w:rPr>
      </w:pPr>
      <w:r w:rsidRPr="00CF5E62">
        <w:rPr>
          <w:rFonts w:ascii="Tahoma" w:hAnsi="Tahoma" w:cs="Tahoma"/>
          <w:b/>
          <w:u w:val="single"/>
          <w:lang w:eastAsia="en-US"/>
        </w:rPr>
        <w:t>ΚΟΙΝΟΠΟΙΗΣΗ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  <w:r w:rsidRPr="00B66484">
        <w:rPr>
          <w:rFonts w:ascii="Verdana" w:hAnsi="Verdana" w:cs="Tahoma"/>
          <w:b/>
          <w:lang w:eastAsia="en-US"/>
        </w:rPr>
        <w:t>Α. ΓΙΑ ΕΝΕΡΓΕΙΑ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</w:p>
    <w:p w:rsidR="00CF5E62" w:rsidRPr="00B66484" w:rsidRDefault="00CF5E62" w:rsidP="00AA1406">
      <w:pPr>
        <w:pStyle w:val="af2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 xml:space="preserve">ΟΤΔ </w:t>
      </w:r>
      <w:r>
        <w:rPr>
          <w:rFonts w:cs="Tahoma"/>
          <w:sz w:val="20"/>
          <w:szCs w:val="20"/>
          <w:lang w:eastAsia="en-US"/>
        </w:rPr>
        <w:t>Δίκτυο Συνεργασίας Δήμων ΠΕ Νήσων Αττικής</w:t>
      </w:r>
    </w:p>
    <w:p w:rsidR="00CF5E62" w:rsidRPr="00B66484" w:rsidRDefault="00CF5E62" w:rsidP="00AA1406">
      <w:pPr>
        <w:pStyle w:val="af2"/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</w:p>
    <w:p w:rsidR="00CF5E62" w:rsidRPr="00B66484" w:rsidRDefault="00CF5E62" w:rsidP="00AA1406">
      <w:pPr>
        <w:pStyle w:val="af2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ΕΙΔΙΚΗ ΥΠΗΡΕΣΙΑ ΔΙΑΧΕΙΡΙΣΗΣ Π.Α.Α. 2014-2020</w:t>
      </w:r>
    </w:p>
    <w:p w:rsidR="00CF5E62" w:rsidRPr="00B66484" w:rsidRDefault="00CF5E62" w:rsidP="00AA1406">
      <w:pPr>
        <w:pStyle w:val="af2"/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</w:p>
    <w:p w:rsidR="00CF5E62" w:rsidRPr="00B66484" w:rsidRDefault="00CF5E62" w:rsidP="00AA1406">
      <w:pPr>
        <w:pStyle w:val="af2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ΥΠΟΥΡΓΕΙΟ ΑΓΡΟΤΙΚΗΣ ΑΝΑΠΤΥΞΗΣ &amp; ΤΡΟΦΙΜΩΝ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>•   ΓΕΝΙΚΗ Δ/ΝΣΗ ΟΙΚΟΝΟΜΙΚΩΝ ΥΠΗΡΕΣΙΩΝ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 xml:space="preserve">    Δ/ΝΣΗ ΠΡΟΫΠΟΛΟΓΙΣΜΟΥ ΚΑΙ ΔΗΜ. ΑΝΑΦΟΡΩΝ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 xml:space="preserve">    ΤΜΗΜΑ ΠΔΕ (σε ηλεκτρονική μορφή).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lang w:eastAsia="en-US"/>
        </w:rPr>
      </w:pP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  <w:r w:rsidRPr="00B66484">
        <w:rPr>
          <w:rFonts w:ascii="Verdana" w:hAnsi="Verdana" w:cs="Tahoma"/>
          <w:b/>
          <w:lang w:eastAsia="en-US"/>
        </w:rPr>
        <w:t>Β. ΓΙΑ ΚΟΙΝΟΠΟΙΗΣΗ</w:t>
      </w:r>
    </w:p>
    <w:p w:rsidR="00CF5E62" w:rsidRPr="00B66484" w:rsidRDefault="00CF5E62" w:rsidP="00AA1406">
      <w:pPr>
        <w:pStyle w:val="af2"/>
        <w:numPr>
          <w:ilvl w:val="0"/>
          <w:numId w:val="43"/>
        </w:numPr>
        <w:spacing w:before="120" w:beforeAutospacing="0" w:after="120"/>
        <w:ind w:left="142" w:hanging="357"/>
        <w:contextualSpacing w:val="0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Οργανισμό Πληρωμών -ΟΠΕΚΕΠΕ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3DE" w:rsidRDefault="006D73DE">
      <w:r>
        <w:separator/>
      </w:r>
    </w:p>
    <w:p w:rsidR="006D73DE" w:rsidRDefault="006D73DE"/>
  </w:endnote>
  <w:endnote w:type="continuationSeparator" w:id="0">
    <w:p w:rsidR="006D73DE" w:rsidRDefault="006D73DE">
      <w:r>
        <w:continuationSeparator/>
      </w:r>
    </w:p>
    <w:p w:rsidR="006D73DE" w:rsidRDefault="006D73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50C" w:rsidRDefault="009A050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40"/>
      <w:tblW w:w="103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10"/>
      <w:gridCol w:w="2547"/>
      <w:gridCol w:w="1566"/>
      <w:gridCol w:w="1977"/>
      <w:gridCol w:w="1839"/>
    </w:tblGrid>
    <w:tr w:rsidR="00663778" w:rsidRPr="00663778" w:rsidTr="0040739B">
      <w:trPr>
        <w:trHeight w:val="1247"/>
        <w:jc w:val="center"/>
      </w:trPr>
      <w:tc>
        <w:tcPr>
          <w:tcW w:w="2410" w:type="dxa"/>
          <w:vAlign w:val="center"/>
        </w:tcPr>
        <w:p w:rsidR="00663778" w:rsidRPr="00663778" w:rsidRDefault="00663778" w:rsidP="00663778">
          <w:pPr>
            <w:jc w:val="center"/>
          </w:pPr>
          <w:bookmarkStart w:id="1" w:name="OLE_LINK14"/>
          <w:bookmarkStart w:id="2" w:name="OLE_LINK15"/>
          <w:r w:rsidRPr="00663778">
            <w:rPr>
              <w:noProof/>
            </w:rPr>
            <w:drawing>
              <wp:inline distT="0" distB="0" distL="0" distR="0" wp14:anchorId="545D1D78" wp14:editId="13406C26">
                <wp:extent cx="1155396" cy="540000"/>
                <wp:effectExtent l="0" t="0" r="0" b="0"/>
                <wp:docPr id="10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39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:rsidR="00663778" w:rsidRPr="00663778" w:rsidRDefault="00663778" w:rsidP="00663778">
          <w:pPr>
            <w:ind w:left="-110" w:firstLine="110"/>
            <w:jc w:val="center"/>
          </w:pPr>
          <w:r w:rsidRPr="00663778">
            <w:rPr>
              <w:noProof/>
            </w:rPr>
            <w:drawing>
              <wp:inline distT="0" distB="0" distL="0" distR="0" wp14:anchorId="2981A255" wp14:editId="6D3D5704">
                <wp:extent cx="1155399" cy="540000"/>
                <wp:effectExtent l="0" t="0" r="0" b="0"/>
                <wp:docPr id="11" name="Εικόνα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399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</w:rPr>
            <w:drawing>
              <wp:inline distT="0" distB="0" distL="0" distR="0" wp14:anchorId="654020DF" wp14:editId="683A04EB">
                <wp:extent cx="552893" cy="612000"/>
                <wp:effectExtent l="0" t="0" r="0" b="0"/>
                <wp:docPr id="12" name="Εικόνα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89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</w:rPr>
            <w:drawing>
              <wp:inline distT="0" distB="0" distL="0" distR="0" wp14:anchorId="14DB9985" wp14:editId="479D373E">
                <wp:extent cx="899209" cy="540000"/>
                <wp:effectExtent l="0" t="0" r="0" b="0"/>
                <wp:docPr id="13" name="Εικόνα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209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</w:rPr>
            <w:drawing>
              <wp:inline distT="0" distB="0" distL="0" distR="0" wp14:anchorId="755D1AA4" wp14:editId="0FD3EC9C">
                <wp:extent cx="538892" cy="540000"/>
                <wp:effectExtent l="0" t="0" r="0" b="0"/>
                <wp:docPr id="5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892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50C" w:rsidRDefault="009A050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3DE" w:rsidRDefault="006D73DE">
      <w:r>
        <w:separator/>
      </w:r>
    </w:p>
    <w:p w:rsidR="006D73DE" w:rsidRDefault="006D73DE"/>
  </w:footnote>
  <w:footnote w:type="continuationSeparator" w:id="0">
    <w:p w:rsidR="006D73DE" w:rsidRDefault="006D73DE">
      <w:r>
        <w:continuationSeparator/>
      </w:r>
    </w:p>
    <w:p w:rsidR="006D73DE" w:rsidRDefault="006D73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50C" w:rsidRDefault="009A050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778" w:rsidRDefault="00663778">
    <w:pPr>
      <w:pStyle w:val="ad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50C" w:rsidRDefault="009A050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3778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3DE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050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1406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5E62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F14842"/>
  <w15:docId w15:val="{EBC4687F-22F9-44A8-8DA9-864CEF7F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31">
    <w:name w:val="Πλέγμα πίνακα3"/>
    <w:basedOn w:val="a1"/>
    <w:next w:val="ac"/>
    <w:uiPriority w:val="39"/>
    <w:rsid w:val="006637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c"/>
    <w:uiPriority w:val="39"/>
    <w:rsid w:val="006637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C195D-396A-420F-AADE-AC2EF932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xristina kalatha</cp:lastModifiedBy>
  <cp:revision>2</cp:revision>
  <cp:lastPrinted>2017-02-10T08:48:00Z</cp:lastPrinted>
  <dcterms:created xsi:type="dcterms:W3CDTF">2018-03-28T07:54:00Z</dcterms:created>
  <dcterms:modified xsi:type="dcterms:W3CDTF">2018-03-28T07:54:00Z</dcterms:modified>
</cp:coreProperties>
</file>